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17FE35" w14:textId="17456595" w:rsidR="00736730" w:rsidRPr="00E85434" w:rsidRDefault="00000000">
      <w:pPr>
        <w:pStyle w:val="P68B1DB1-PlainText1"/>
        <w:rPr>
          <w:vanish w:val="0"/>
          <w:lang w:val="fr-FR"/>
        </w:rPr>
      </w:pPr>
      <w:proofErr w:type="spellStart"/>
      <w:r w:rsidRPr="00E85434">
        <w:rPr>
          <w:vanish w:val="0"/>
          <w:lang w:val="fr-FR"/>
        </w:rPr>
        <w:t>Symptoms</w:t>
      </w:r>
      <w:proofErr w:type="spellEnd"/>
    </w:p>
    <w:p w14:paraId="70803462" w14:textId="77777777" w:rsidR="00736730" w:rsidRPr="00E85434" w:rsidRDefault="00736730">
      <w:pPr>
        <w:pStyle w:val="PlainText"/>
        <w:rPr>
          <w:rFonts w:ascii="Courier New" w:hAnsi="Courier New" w:cs="Courier New"/>
          <w:lang w:val="fr-FR"/>
        </w:rPr>
      </w:pPr>
    </w:p>
    <w:p w14:paraId="01667A7B" w14:textId="77777777" w:rsidR="00736730" w:rsidRPr="00E85434" w:rsidRDefault="00000000">
      <w:pPr>
        <w:pStyle w:val="P68B1DB1-PlainText2"/>
        <w:rPr>
          <w:lang w:val="fr-FR"/>
        </w:rPr>
      </w:pPr>
      <w:r w:rsidRPr="00E85434">
        <w:rPr>
          <w:lang w:val="fr-FR"/>
        </w:rPr>
        <w:t>INTERVENANT : Gert Mayer</w:t>
      </w:r>
    </w:p>
    <w:p w14:paraId="6B088333" w14:textId="77777777" w:rsidR="00736730" w:rsidRPr="00E85434" w:rsidRDefault="00736730">
      <w:pPr>
        <w:pStyle w:val="PlainText"/>
        <w:rPr>
          <w:rFonts w:ascii="Courier New" w:hAnsi="Courier New" w:cs="Courier New"/>
          <w:lang w:val="fr-FR"/>
        </w:rPr>
      </w:pPr>
    </w:p>
    <w:p w14:paraId="0885023B" w14:textId="23BDAA88" w:rsidR="00736730" w:rsidRPr="00E85434" w:rsidRDefault="00000000">
      <w:pPr>
        <w:pStyle w:val="P68B1DB1-defaultparagraph3"/>
        <w:contextualSpacing w:val="0"/>
        <w:jc w:val="left"/>
        <w:rPr>
          <w:szCs w:val="21"/>
          <w:lang w:val="fr-FR"/>
        </w:rPr>
      </w:pPr>
      <w:r w:rsidRPr="00E85434">
        <w:rPr>
          <w:lang w:val="fr-FR"/>
        </w:rPr>
        <w:t>Le prochain sujet dont nous allons parler, ce sont les symptômes. Le prurit associé à la maladie rénale chronique est une démangeaison systémique qui survient chez les personnes atteintes d'insuffisance rénale chronique. Et comme nous l'avons mentionné lors de la première partie de ce webinaire, ce sont surtout les personnes en insuffisance rénale terminale qui sont concernées, à l'exclusion de celles ayant bénéficié d'une transplantation. Avec la transplantation, le prurit associé à la maladie rénale chronique ne se manifeste pas. Les patients transplantés ont chaque jour un problème différent. Mais avec l'aggravation de la maladie rénale chronique, et surtout pendant le traitement de substitution rénale, il s'agit d'un problème très fréquent.</w:t>
      </w:r>
    </w:p>
    <w:p w14:paraId="0395C545" w14:textId="77777777" w:rsidR="00736730" w:rsidRPr="00E85434" w:rsidRDefault="00736730">
      <w:pPr>
        <w:pStyle w:val="defaultparagraph"/>
        <w:contextualSpacing w:val="0"/>
        <w:jc w:val="left"/>
        <w:rPr>
          <w:rFonts w:ascii="Courier New" w:hAnsi="Courier New" w:cs="Courier New"/>
          <w:sz w:val="21"/>
          <w:szCs w:val="21"/>
          <w:lang w:val="fr-FR"/>
        </w:rPr>
      </w:pPr>
    </w:p>
    <w:p w14:paraId="457D4E0D" w14:textId="77777777" w:rsidR="00736730" w:rsidRPr="00E85434" w:rsidRDefault="00000000">
      <w:pPr>
        <w:pStyle w:val="P68B1DB1-defaultparagraph3"/>
        <w:contextualSpacing w:val="0"/>
        <w:jc w:val="left"/>
        <w:rPr>
          <w:szCs w:val="21"/>
          <w:lang w:val="fr-FR"/>
        </w:rPr>
      </w:pPr>
      <w:r w:rsidRPr="00E85434">
        <w:rPr>
          <w:lang w:val="fr-FR"/>
        </w:rPr>
        <w:t>Les démangeaisons peuvent affecter la peau de tout le corps ou seulement des zones spécifiques comme le cuir chevelu, le visage, la partie supérieure des bras ou les fesses. Ce qui est également important, et ce que vous devez savoir, c'est que l'évolution naturelle des démangeaisons est variable. Elles peuvent changer au fil du temps. Elles peuvent affecter la qualité de vie, surtout lorsqu'elles sont sévères. Elles peuvent provoquer des troubles du sommeil, de l'anxiété et de la dépression. Et elles peuvent être physiquement et émotionnellement épuisantes.</w:t>
      </w:r>
    </w:p>
    <w:p w14:paraId="66835751" w14:textId="77777777" w:rsidR="00736730" w:rsidRPr="00E85434" w:rsidRDefault="00736730">
      <w:pPr>
        <w:pStyle w:val="defaultparagraph"/>
        <w:contextualSpacing w:val="0"/>
        <w:jc w:val="left"/>
        <w:rPr>
          <w:rFonts w:ascii="Courier New" w:hAnsi="Courier New" w:cs="Courier New"/>
          <w:sz w:val="21"/>
          <w:szCs w:val="21"/>
          <w:lang w:val="fr-FR"/>
        </w:rPr>
      </w:pPr>
    </w:p>
    <w:p w14:paraId="482030C5" w14:textId="77777777" w:rsidR="00736730" w:rsidRPr="00E85434" w:rsidRDefault="00000000">
      <w:pPr>
        <w:pStyle w:val="P68B1DB1-defaultparagraph3"/>
        <w:contextualSpacing w:val="0"/>
        <w:jc w:val="left"/>
        <w:rPr>
          <w:szCs w:val="21"/>
          <w:lang w:val="fr-FR"/>
        </w:rPr>
      </w:pPr>
      <w:r w:rsidRPr="00E85434">
        <w:rPr>
          <w:lang w:val="fr-FR"/>
        </w:rPr>
        <w:t>Elles affectent les activités quotidiennes. Imaginez que vos démangeaisons vous poussent à vous gratter tout le temps alors que vous êtes avec des membres de votre famille ou avec d'autres personnes, et que vous avez des marques de grattage sur tout le corps. Ce n'est donc pas seulement un problème qui concerne les démangeaisons en elles-mêmes, mais qui a aussi d'importants impacts sur les activités quotidiennes de nos patients.</w:t>
      </w:r>
    </w:p>
    <w:p w14:paraId="76B86CD0" w14:textId="77777777" w:rsidR="00736730" w:rsidRPr="00E85434" w:rsidRDefault="00736730">
      <w:pPr>
        <w:pStyle w:val="defaultparagraph"/>
        <w:contextualSpacing w:val="0"/>
        <w:jc w:val="left"/>
        <w:rPr>
          <w:rFonts w:ascii="Courier New" w:hAnsi="Courier New" w:cs="Courier New"/>
          <w:sz w:val="21"/>
          <w:szCs w:val="21"/>
          <w:lang w:val="fr-FR"/>
        </w:rPr>
      </w:pPr>
    </w:p>
    <w:p w14:paraId="4189EA2F" w14:textId="233EDC50" w:rsidR="00736730" w:rsidRPr="00E85434" w:rsidRDefault="00000000">
      <w:pPr>
        <w:pStyle w:val="P68B1DB1-defaultparagraph3"/>
        <w:contextualSpacing w:val="0"/>
        <w:jc w:val="left"/>
        <w:rPr>
          <w:szCs w:val="21"/>
          <w:lang w:val="fr-FR"/>
        </w:rPr>
      </w:pPr>
      <w:r w:rsidRPr="00E85434">
        <w:rPr>
          <w:lang w:val="fr-FR"/>
        </w:rPr>
        <w:t xml:space="preserve">Les zones les plus souvent touchées sont la poitrine et les avant-bras, le visage et le dos. Mais chez environ 50 % des personnes, le problème est généralisé. Il est souvent symétrique, mais même cela n'est pas tout à fait vrai, donc cela varie d'une personne à l'autre. Il existe une forme très grave </w:t>
      </w:r>
      <w:r w:rsidRPr="005D13F6">
        <w:rPr>
          <w:lang w:val="fr-FR"/>
        </w:rPr>
        <w:t xml:space="preserve">appelée </w:t>
      </w:r>
      <w:proofErr w:type="spellStart"/>
      <w:r w:rsidRPr="005D13F6">
        <w:rPr>
          <w:lang w:val="fr-FR"/>
        </w:rPr>
        <w:t>acnestis</w:t>
      </w:r>
      <w:proofErr w:type="spellEnd"/>
      <w:r w:rsidRPr="005D13F6">
        <w:rPr>
          <w:lang w:val="fr-FR"/>
        </w:rPr>
        <w:t>,</w:t>
      </w:r>
      <w:r w:rsidRPr="00E85434">
        <w:rPr>
          <w:lang w:val="fr-FR"/>
        </w:rPr>
        <w:t xml:space="preserve"> qui se caractérise essentiellement par des marques de griffures sur tout le corps, sauf entre les épaules où le patient ne peut pas se gratter. Cela peut donc être extrêmement dévastateur, et représenter un véritable problème.</w:t>
      </w:r>
    </w:p>
    <w:p w14:paraId="4227125C" w14:textId="77777777" w:rsidR="00736730" w:rsidRPr="00E85434" w:rsidRDefault="00736730">
      <w:pPr>
        <w:pStyle w:val="defaultparagraph"/>
        <w:contextualSpacing w:val="0"/>
        <w:jc w:val="left"/>
        <w:rPr>
          <w:rFonts w:ascii="Courier New" w:hAnsi="Courier New" w:cs="Courier New"/>
          <w:sz w:val="21"/>
          <w:szCs w:val="21"/>
          <w:lang w:val="fr-FR"/>
        </w:rPr>
      </w:pPr>
    </w:p>
    <w:p w14:paraId="7A3D0A1A" w14:textId="47E2DCCE" w:rsidR="00736730" w:rsidRPr="00E85434" w:rsidRDefault="00000000">
      <w:pPr>
        <w:pStyle w:val="P68B1DB1-defaultparagraph3"/>
        <w:contextualSpacing w:val="0"/>
        <w:jc w:val="left"/>
        <w:rPr>
          <w:szCs w:val="21"/>
          <w:lang w:val="fr-FR"/>
        </w:rPr>
      </w:pPr>
      <w:r w:rsidRPr="00E85434">
        <w:rPr>
          <w:lang w:val="fr-FR"/>
        </w:rPr>
        <w:lastRenderedPageBreak/>
        <w:t>Elles peuvent être intermittentes ou constantes. Il existe un certain lien avec la dialyse, certains patients rapportent que le problème survient principalement pendant la séance de dialyse, mais il peut également survenir avant ou après la dialyse. Il est aggravé par les températures extrêmes (chaudes ou froides). Si le patient est stressé pendant une activité physique et sous la douche (et de nombreux patients font en fait exactement ce qu'il ne faut pas faire, c'est-à-dire prendre une douche en cas de démangeaisons), cela aggrave alors le problème.</w:t>
      </w:r>
    </w:p>
    <w:p w14:paraId="1369482D" w14:textId="77777777" w:rsidR="00736730" w:rsidRPr="00E85434" w:rsidRDefault="00736730">
      <w:pPr>
        <w:pStyle w:val="defaultparagraph"/>
        <w:contextualSpacing w:val="0"/>
        <w:jc w:val="left"/>
        <w:rPr>
          <w:rFonts w:ascii="Courier New" w:hAnsi="Courier New" w:cs="Courier New"/>
          <w:sz w:val="21"/>
          <w:szCs w:val="21"/>
          <w:lang w:val="fr-FR"/>
        </w:rPr>
      </w:pPr>
    </w:p>
    <w:p w14:paraId="7573E91E" w14:textId="77777777" w:rsidR="00736730" w:rsidRPr="00E85434" w:rsidRDefault="00000000">
      <w:pPr>
        <w:pStyle w:val="P68B1DB1-defaultparagraph3"/>
        <w:contextualSpacing w:val="0"/>
        <w:jc w:val="left"/>
        <w:rPr>
          <w:szCs w:val="21"/>
          <w:lang w:val="fr-FR"/>
        </w:rPr>
      </w:pPr>
      <w:r w:rsidRPr="00E85434">
        <w:rPr>
          <w:lang w:val="fr-FR"/>
        </w:rPr>
        <w:t xml:space="preserve">En général, le prurit associé à la maladie rénale chronique débute sans modification visible de la peau. Si vous présentez d'abord une lésion cutanée et que ce prurit n'apparaît qu'ensuite, il faut envisager d'autres diagnostics possibles dont Joerg parlera. Il peut cependant être associé à la </w:t>
      </w:r>
      <w:proofErr w:type="spellStart"/>
      <w:r w:rsidRPr="00E85434">
        <w:rPr>
          <w:lang w:val="fr-FR"/>
        </w:rPr>
        <w:t>xérose</w:t>
      </w:r>
      <w:proofErr w:type="spellEnd"/>
      <w:r w:rsidRPr="00E85434">
        <w:rPr>
          <w:lang w:val="fr-FR"/>
        </w:rPr>
        <w:t xml:space="preserve">, c'est-à-dire à la sécheresse de la peau, qui survient dans environ 50 à 85 % des cas. Et la </w:t>
      </w:r>
      <w:proofErr w:type="spellStart"/>
      <w:r w:rsidRPr="00E85434">
        <w:rPr>
          <w:lang w:val="fr-FR"/>
        </w:rPr>
        <w:t>xérose</w:t>
      </w:r>
      <w:proofErr w:type="spellEnd"/>
      <w:r w:rsidRPr="00E85434">
        <w:rPr>
          <w:lang w:val="fr-FR"/>
        </w:rPr>
        <w:t xml:space="preserve"> peut en soi provoquer des démangeaisons, mais elle peut aussi aggraver très fortement le prurit associé à la maladie rénale chronique. Nous reviendrons sur cette interaction lorsque nous aborderons le traitement.</w:t>
      </w:r>
    </w:p>
    <w:p w14:paraId="28616CD2" w14:textId="77777777" w:rsidR="00736730" w:rsidRPr="00E85434" w:rsidRDefault="00736730">
      <w:pPr>
        <w:pStyle w:val="defaultparagraph"/>
        <w:contextualSpacing w:val="0"/>
        <w:jc w:val="left"/>
        <w:rPr>
          <w:rFonts w:ascii="Courier New" w:hAnsi="Courier New" w:cs="Courier New"/>
          <w:sz w:val="21"/>
          <w:szCs w:val="21"/>
          <w:lang w:val="fr-FR"/>
        </w:rPr>
      </w:pPr>
    </w:p>
    <w:p w14:paraId="62A58CAA" w14:textId="77777777" w:rsidR="00736730" w:rsidRPr="00E85434" w:rsidRDefault="00000000">
      <w:pPr>
        <w:pStyle w:val="P68B1DB1-defaultparagraph3"/>
        <w:contextualSpacing w:val="0"/>
        <w:jc w:val="left"/>
        <w:rPr>
          <w:szCs w:val="21"/>
          <w:lang w:val="fr-FR"/>
        </w:rPr>
      </w:pPr>
      <w:r w:rsidRPr="00E85434">
        <w:rPr>
          <w:lang w:val="fr-FR"/>
        </w:rPr>
        <w:t>Et généralement, dans le prurit associé à la maladie rénale chronique, ce qui est caractéristique, c'est que les complications cutanées secondaires comme l'impétigo, le prurigo nodulaire ou les érosions ne surviennent qu'à la suite du grattage, mais pas à cause de la maladie prurigineuse elle-même.</w:t>
      </w:r>
    </w:p>
    <w:p w14:paraId="4DEE963F" w14:textId="77777777" w:rsidR="00736730" w:rsidRPr="00E85434" w:rsidRDefault="00736730">
      <w:pPr>
        <w:pStyle w:val="defaultparagraph"/>
        <w:contextualSpacing w:val="0"/>
        <w:jc w:val="left"/>
        <w:rPr>
          <w:rFonts w:ascii="Courier New" w:hAnsi="Courier New" w:cs="Courier New"/>
          <w:sz w:val="21"/>
          <w:szCs w:val="21"/>
          <w:lang w:val="fr-FR"/>
        </w:rPr>
      </w:pPr>
    </w:p>
    <w:p w14:paraId="59AAE01E" w14:textId="71C4BF3B" w:rsidR="00736730" w:rsidRPr="00E85434" w:rsidRDefault="00000000">
      <w:pPr>
        <w:pStyle w:val="P68B1DB1-defaultparagraph3"/>
        <w:contextualSpacing w:val="0"/>
        <w:jc w:val="left"/>
        <w:rPr>
          <w:szCs w:val="21"/>
          <w:lang w:val="fr-FR"/>
        </w:rPr>
      </w:pPr>
      <w:r w:rsidRPr="00E85434">
        <w:rPr>
          <w:lang w:val="fr-FR"/>
        </w:rPr>
        <w:t>Vous pouvez voir ici des modifications secondaires typiques de la peau. Vous voyez la jambe de ce patient dialysé, et vous voyez les marques de grattage, ces excoriations aux extrémités inférieures. Et cette autre image montre un prurigo nodulaire à différents endroits. Gardez à l'esprit que ce sont des changements secondaires survenant du fait du prurit, mais qui ne sont pas la manifestation primaire du prurit associé à la maladie rénale chronique, ce qui est très important en termes de diagnostic différentiel.</w:t>
      </w:r>
    </w:p>
    <w:p w14:paraId="0B64B957" w14:textId="77777777" w:rsidR="00736730" w:rsidRPr="00E85434" w:rsidRDefault="00736730">
      <w:pPr>
        <w:rPr>
          <w:rFonts w:ascii="Courier New" w:hAnsi="Courier New" w:cs="Courier New"/>
          <w:sz w:val="21"/>
          <w:szCs w:val="21"/>
          <w:lang w:val="fr-FR"/>
        </w:rPr>
      </w:pPr>
    </w:p>
    <w:p w14:paraId="44F2CAFF" w14:textId="77777777" w:rsidR="00736730" w:rsidRPr="00E85434" w:rsidRDefault="00000000">
      <w:pPr>
        <w:pStyle w:val="P68B1DB1-defaultparagraph3"/>
        <w:contextualSpacing w:val="0"/>
        <w:jc w:val="left"/>
        <w:rPr>
          <w:szCs w:val="21"/>
          <w:lang w:val="fr-FR"/>
        </w:rPr>
      </w:pPr>
      <w:r w:rsidRPr="00E85434">
        <w:rPr>
          <w:lang w:val="fr-FR"/>
        </w:rPr>
        <w:t xml:space="preserve">Nous allons maintenant aborder la pathophysiologie de la maladie. Sur cette illustration, vous pouvez voir la manière dont les signaux de démangeaison sont généralement détectés et transmis au système nerveux central. La démangeaison est un réflexe très profond. Elle est très importante au cours du développement et peut être due à des substances irritantes très différentes. Il peut s'agir d'allergènes, d'autres </w:t>
      </w:r>
      <w:r w:rsidRPr="00E85434">
        <w:rPr>
          <w:lang w:val="fr-FR"/>
        </w:rPr>
        <w:lastRenderedPageBreak/>
        <w:t>substances irritantes, d'agents pathogènes ou d'un simple contact qui entraîne une sensation de démangeaison.</w:t>
      </w:r>
    </w:p>
    <w:p w14:paraId="28476A12" w14:textId="77777777" w:rsidR="00736730" w:rsidRPr="00E85434" w:rsidRDefault="00736730">
      <w:pPr>
        <w:pStyle w:val="defaultparagraph"/>
        <w:contextualSpacing w:val="0"/>
        <w:jc w:val="left"/>
        <w:rPr>
          <w:rFonts w:ascii="Courier New" w:hAnsi="Courier New" w:cs="Courier New"/>
          <w:sz w:val="21"/>
          <w:szCs w:val="21"/>
          <w:lang w:val="fr-FR"/>
        </w:rPr>
      </w:pPr>
    </w:p>
    <w:p w14:paraId="2E140E74" w14:textId="77777777" w:rsidR="00736730" w:rsidRPr="00E85434" w:rsidRDefault="00000000">
      <w:pPr>
        <w:pStyle w:val="P68B1DB1-defaultparagraph3"/>
        <w:contextualSpacing w:val="0"/>
        <w:jc w:val="left"/>
        <w:rPr>
          <w:szCs w:val="21"/>
          <w:lang w:val="fr-FR"/>
        </w:rPr>
      </w:pPr>
      <w:r w:rsidRPr="00E85434">
        <w:rPr>
          <w:lang w:val="fr-FR"/>
        </w:rPr>
        <w:t>Il existe différents médiateurs comme la substance P, mais aussi de nombreuses cytokines qui se dirigent vers les terminaisons nerveuses des nerfs sensoriels situés dans la peau ou sous la peau et qui activent ce signal de démangeaison, qui est ensuite transmis via la moelle épinière au système nerveux central et provoque le réflexe de démangeaison.</w:t>
      </w:r>
    </w:p>
    <w:p w14:paraId="5FB73F58" w14:textId="77777777" w:rsidR="00736730" w:rsidRPr="00E85434" w:rsidRDefault="00736730">
      <w:pPr>
        <w:pStyle w:val="defaultparagraph"/>
        <w:contextualSpacing w:val="0"/>
        <w:jc w:val="left"/>
        <w:rPr>
          <w:rFonts w:ascii="Courier New" w:hAnsi="Courier New" w:cs="Courier New"/>
          <w:sz w:val="21"/>
          <w:szCs w:val="21"/>
          <w:lang w:val="fr-FR"/>
        </w:rPr>
      </w:pPr>
    </w:p>
    <w:p w14:paraId="1C837165" w14:textId="142D33DA" w:rsidR="00736730" w:rsidRPr="00E85434" w:rsidRDefault="00000000">
      <w:pPr>
        <w:pStyle w:val="P68B1DB1-defaultparagraph3"/>
        <w:contextualSpacing w:val="0"/>
        <w:jc w:val="left"/>
        <w:rPr>
          <w:szCs w:val="21"/>
          <w:lang w:val="fr-FR"/>
        </w:rPr>
      </w:pPr>
      <w:r w:rsidRPr="00E85434">
        <w:rPr>
          <w:lang w:val="fr-FR"/>
        </w:rPr>
        <w:t>Il est important de noter qu'il ne s'agit pas seulement de signaux chimiques, mais que cela implique également des cellules du système immunitaire, telles que les cellules dendritiques, les neutrophiles ou les basophiles ou les éosinophiles, les lymphocytes Th2 et Th1/17, ainsi que leurs cytokines associées. Tous ces différents stimuli, avec tous leurs récepteurs impliqués, peuvent finalement conduire au signal de démangeaison qui est transmis au système nerveux central. Il s'agit donc d'un système vraiment complexe, entièrement conçu pour transmettre la démangeaison au système nerveux central puis conduire au grattage, essentiellement comme mécanisme de défense.</w:t>
      </w:r>
    </w:p>
    <w:p w14:paraId="79A200E9" w14:textId="77777777" w:rsidR="00736730" w:rsidRPr="00E85434" w:rsidRDefault="00736730">
      <w:pPr>
        <w:rPr>
          <w:rFonts w:ascii="Courier New" w:hAnsi="Courier New" w:cs="Courier New"/>
          <w:sz w:val="21"/>
          <w:szCs w:val="21"/>
          <w:lang w:val="fr-FR"/>
        </w:rPr>
      </w:pPr>
    </w:p>
    <w:sectPr w:rsidR="00736730" w:rsidRPr="00E8543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28310" w14:textId="77777777" w:rsidR="000D15BE" w:rsidRDefault="000D15BE">
      <w:pPr>
        <w:spacing w:line="240" w:lineRule="auto"/>
      </w:pPr>
      <w:r>
        <w:separator/>
      </w:r>
    </w:p>
  </w:endnote>
  <w:endnote w:type="continuationSeparator" w:id="0">
    <w:p w14:paraId="4AFA8AD9" w14:textId="77777777" w:rsidR="000D15BE" w:rsidRDefault="000D15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517D" w14:textId="77777777" w:rsidR="00736730" w:rsidRDefault="007367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8561" w14:textId="77777777" w:rsidR="00736730" w:rsidRDefault="0073673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A1309" w14:textId="77777777" w:rsidR="00736730" w:rsidRDefault="007367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CF6CB" w14:textId="77777777" w:rsidR="000D15BE" w:rsidRDefault="000D15BE">
      <w:pPr>
        <w:spacing w:line="240" w:lineRule="auto"/>
      </w:pPr>
      <w:r>
        <w:separator/>
      </w:r>
    </w:p>
  </w:footnote>
  <w:footnote w:type="continuationSeparator" w:id="0">
    <w:p w14:paraId="0FC1E9C3" w14:textId="77777777" w:rsidR="000D15BE" w:rsidRDefault="000D15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85FC" w14:textId="77777777" w:rsidR="00736730" w:rsidRDefault="007367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D104" w14:textId="77777777" w:rsidR="00736730" w:rsidRDefault="007367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300" w14:textId="77777777" w:rsidR="00736730" w:rsidRDefault="0073673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819DA"/>
    <w:rsid w:val="00047C3E"/>
    <w:rsid w:val="00090A29"/>
    <w:rsid w:val="000D15BE"/>
    <w:rsid w:val="001D734E"/>
    <w:rsid w:val="00210AED"/>
    <w:rsid w:val="00425705"/>
    <w:rsid w:val="0051621F"/>
    <w:rsid w:val="005D13F6"/>
    <w:rsid w:val="00736730"/>
    <w:rsid w:val="0079720C"/>
    <w:rsid w:val="007A5103"/>
    <w:rsid w:val="008210E6"/>
    <w:rsid w:val="009753FB"/>
    <w:rsid w:val="00AB4B63"/>
    <w:rsid w:val="00D11253"/>
    <w:rsid w:val="00D819DA"/>
    <w:rsid w:val="00D936A7"/>
    <w:rsid w:val="00E117D5"/>
    <w:rsid w:val="00E85434"/>
    <w:rsid w:val="00FE0A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1CA6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A5103"/>
    <w:pPr>
      <w:tabs>
        <w:tab w:val="center" w:pos="4513"/>
        <w:tab w:val="right" w:pos="9026"/>
      </w:tabs>
      <w:spacing w:line="240" w:lineRule="auto"/>
    </w:pPr>
  </w:style>
  <w:style w:type="character" w:customStyle="1" w:styleId="HeaderChar">
    <w:name w:val="Header Char"/>
    <w:basedOn w:val="DefaultParagraphFont"/>
    <w:link w:val="Header"/>
    <w:uiPriority w:val="99"/>
    <w:rsid w:val="007A5103"/>
  </w:style>
  <w:style w:type="paragraph" w:styleId="Footer">
    <w:name w:val="footer"/>
    <w:basedOn w:val="Normal"/>
    <w:link w:val="FooterChar"/>
    <w:uiPriority w:val="99"/>
    <w:unhideWhenUsed/>
    <w:rsid w:val="007A5103"/>
    <w:pPr>
      <w:tabs>
        <w:tab w:val="center" w:pos="4513"/>
        <w:tab w:val="right" w:pos="9026"/>
      </w:tabs>
      <w:spacing w:line="240" w:lineRule="auto"/>
    </w:pPr>
  </w:style>
  <w:style w:type="character" w:customStyle="1" w:styleId="FooterChar">
    <w:name w:val="Footer Char"/>
    <w:basedOn w:val="DefaultParagraphFont"/>
    <w:link w:val="Footer"/>
    <w:uiPriority w:val="99"/>
    <w:rsid w:val="007A5103"/>
  </w:style>
  <w:style w:type="paragraph" w:styleId="PlainText">
    <w:name w:val="Plain Text"/>
    <w:basedOn w:val="Normal"/>
    <w:link w:val="PlainTextChar"/>
    <w:uiPriority w:val="99"/>
    <w:unhideWhenUsed/>
    <w:rsid w:val="007A5103"/>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A5103"/>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955</Words>
  <Characters>4932</Characters>
  <Application>Microsoft Office Word</Application>
  <DocSecurity>0</DocSecurity>
  <Lines>114</Lines>
  <Paragraphs>22</Paragraphs>
  <ScaleCrop>false</ScaleCrop>
  <HeadingPairs>
    <vt:vector size="2" baseType="variant">
      <vt:variant>
        <vt:lpstr>Title</vt:lpstr>
      </vt:variant>
      <vt:variant>
        <vt:i4>1</vt:i4>
      </vt:variant>
    </vt:vector>
  </HeadingPairs>
  <TitlesOfParts>
    <vt:vector size="1" baseType="lpstr">
      <vt:lpstr>Symptoms .mp4</vt:lpstr>
    </vt:vector>
  </TitlesOfParts>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Symptoms .mp4</dc:title>
  <cp:lastModifiedBy>Julie Fry</cp:lastModifiedBy>
  <cp:revision>11</cp:revision>
  <dcterms:created xsi:type="dcterms:W3CDTF">2025-09-26T15:34:00Z</dcterms:created>
  <dcterms:modified xsi:type="dcterms:W3CDTF">2025-10-01T14:49:00Z</dcterms:modified>
</cp:coreProperties>
</file>